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970" w:rsidRDefault="003C4999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University of Virginia Center for Politics</w:t>
      </w:r>
    </w:p>
    <w:p w:rsidR="00554970" w:rsidRDefault="003C4999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1943100</wp:posOffset>
            </wp:positionH>
            <wp:positionV relativeFrom="paragraph">
              <wp:posOffset>24130</wp:posOffset>
            </wp:positionV>
            <wp:extent cx="1591310" cy="734695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12467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4970" w:rsidRDefault="003C4999">
      <w:pPr>
        <w:jc w:val="center"/>
      </w:pPr>
      <w:r>
        <w:rPr>
          <w:b/>
          <w:sz w:val="28"/>
          <w:szCs w:val="28"/>
        </w:rPr>
        <w:t>Talking Turkey: Social Justice and Civil Disobedience</w:t>
      </w:r>
    </w:p>
    <w:p w:rsidR="00554970" w:rsidRDefault="00554970"/>
    <w:p w:rsidR="00554970" w:rsidRDefault="003C4999">
      <w:r>
        <w:rPr>
          <w:b/>
          <w:sz w:val="28"/>
          <w:szCs w:val="28"/>
        </w:rPr>
        <w:t>Definitions (</w:t>
      </w:r>
      <w:hyperlink r:id="rId7">
        <w:r>
          <w:rPr>
            <w:b/>
            <w:color w:val="1155CC"/>
            <w:sz w:val="28"/>
            <w:szCs w:val="28"/>
            <w:u w:val="single"/>
          </w:rPr>
          <w:t>https://www.merriam-webster.com/dictionary/</w:t>
        </w:r>
      </w:hyperlink>
      <w:r>
        <w:rPr>
          <w:b/>
          <w:sz w:val="28"/>
          <w:szCs w:val="28"/>
        </w:rPr>
        <w:t>)</w:t>
      </w:r>
    </w:p>
    <w:p w:rsidR="00554970" w:rsidRDefault="00554970"/>
    <w:p w:rsidR="00554970" w:rsidRDefault="003C4999">
      <w:pPr>
        <w:numPr>
          <w:ilvl w:val="0"/>
          <w:numId w:val="4"/>
        </w:numPr>
        <w:ind w:left="1080"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Social Justice: </w:t>
      </w:r>
      <w:r>
        <w:rPr>
          <w:sz w:val="28"/>
          <w:szCs w:val="28"/>
        </w:rPr>
        <w:t>a state or doctrine of egalitarianism (human equality).</w:t>
      </w:r>
    </w:p>
    <w:p w:rsidR="00554970" w:rsidRDefault="003C4999">
      <w:pPr>
        <w:numPr>
          <w:ilvl w:val="0"/>
          <w:numId w:val="4"/>
        </w:numPr>
        <w:ind w:left="1080"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Civil Disobedience</w:t>
      </w:r>
      <w:r>
        <w:rPr>
          <w:sz w:val="28"/>
          <w:szCs w:val="28"/>
        </w:rPr>
        <w:t xml:space="preserve">: refusal to obey governmental demands or commands especially as a symbolic, nonviolent, and usually collective means of forcing concessions from the government. </w:t>
      </w:r>
    </w:p>
    <w:p w:rsidR="00554970" w:rsidRDefault="00554970"/>
    <w:p w:rsidR="00554970" w:rsidRDefault="003C4999">
      <w:r>
        <w:rPr>
          <w:b/>
          <w:sz w:val="28"/>
          <w:szCs w:val="28"/>
        </w:rPr>
        <w:t>Why Civil Disobedi</w:t>
      </w:r>
      <w:r>
        <w:rPr>
          <w:b/>
          <w:sz w:val="28"/>
          <w:szCs w:val="28"/>
        </w:rPr>
        <w:t>ence?</w:t>
      </w:r>
    </w:p>
    <w:p w:rsidR="00554970" w:rsidRDefault="00554970">
      <w:pPr>
        <w:ind w:firstLine="720"/>
      </w:pPr>
    </w:p>
    <w:p w:rsidR="00554970" w:rsidRDefault="003C4999">
      <w:pPr>
        <w:ind w:left="720"/>
      </w:pPr>
      <w:r>
        <w:rPr>
          <w:sz w:val="28"/>
          <w:szCs w:val="28"/>
        </w:rPr>
        <w:t xml:space="preserve">Individuals participate in civil disobedience to nonviolently show their disapproval of policies, customs, and ideas, and for the purpose of achieving social justice. </w:t>
      </w:r>
    </w:p>
    <w:p w:rsidR="00554970" w:rsidRDefault="00554970">
      <w:pPr>
        <w:ind w:firstLine="720"/>
      </w:pPr>
    </w:p>
    <w:p w:rsidR="00554970" w:rsidRDefault="003C4999">
      <w:r>
        <w:rPr>
          <w:b/>
          <w:sz w:val="28"/>
          <w:szCs w:val="28"/>
        </w:rPr>
        <w:t>Familiar Examples of Civil Disobedience from History:</w:t>
      </w:r>
    </w:p>
    <w:p w:rsidR="00554970" w:rsidRDefault="00554970"/>
    <w:p w:rsidR="00554970" w:rsidRDefault="003C4999">
      <w:pPr>
        <w:ind w:firstLine="720"/>
      </w:pPr>
      <w:r>
        <w:rPr>
          <w:i/>
          <w:sz w:val="28"/>
          <w:szCs w:val="28"/>
        </w:rPr>
        <w:t>The Boston Tea Party (Dec</w:t>
      </w:r>
      <w:r>
        <w:rPr>
          <w:i/>
          <w:sz w:val="28"/>
          <w:szCs w:val="28"/>
        </w:rPr>
        <w:t xml:space="preserve"> 16, 1773)</w:t>
      </w:r>
      <w:r>
        <w:rPr>
          <w:sz w:val="28"/>
          <w:szCs w:val="28"/>
        </w:rPr>
        <w:t xml:space="preserve"> - The Sons of Liberty threw a shipment of tea into the Boston Harbor to protest the British Parliament’s </w:t>
      </w:r>
      <w:proofErr w:type="gramStart"/>
      <w:r>
        <w:rPr>
          <w:sz w:val="28"/>
          <w:szCs w:val="28"/>
        </w:rPr>
        <w:t>implementation</w:t>
      </w:r>
      <w:proofErr w:type="gramEnd"/>
      <w:r>
        <w:rPr>
          <w:sz w:val="28"/>
          <w:szCs w:val="28"/>
        </w:rPr>
        <w:t xml:space="preserve"> of the Tea Act. Colonists believed that the Tea Act was unjust based on their rights as Englishmen to “no taxation without re</w:t>
      </w:r>
      <w:r>
        <w:rPr>
          <w:sz w:val="28"/>
          <w:szCs w:val="28"/>
        </w:rPr>
        <w:t xml:space="preserve">presentation”. This led to the Declaration of Independence, the American Revolutionary War, and the result was American independence from Britain. </w:t>
      </w:r>
    </w:p>
    <w:p w:rsidR="00554970" w:rsidRDefault="003C4999">
      <w:pPr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http://www.history.com</w:t>
        </w:r>
        <w:r>
          <w:rPr>
            <w:color w:val="1155CC"/>
            <w:sz w:val="28"/>
            <w:szCs w:val="28"/>
            <w:u w:val="single"/>
          </w:rPr>
          <w:t>/topics/american-revolution/boston-tea-party</w:t>
        </w:r>
      </w:hyperlink>
      <w:r>
        <w:rPr>
          <w:sz w:val="28"/>
          <w:szCs w:val="28"/>
        </w:rPr>
        <w:t xml:space="preserve"> </w:t>
      </w:r>
    </w:p>
    <w:p w:rsidR="00554970" w:rsidRDefault="00554970">
      <w:pPr>
        <w:ind w:firstLine="720"/>
      </w:pPr>
    </w:p>
    <w:p w:rsidR="00554970" w:rsidRDefault="003C4999">
      <w:pPr>
        <w:ind w:firstLine="720"/>
      </w:pPr>
      <w:r>
        <w:rPr>
          <w:i/>
          <w:sz w:val="28"/>
          <w:szCs w:val="28"/>
        </w:rPr>
        <w:t>Rosa Parks and the Montgomery Bus Boycott (Dec 1, 1955)</w:t>
      </w:r>
      <w:r>
        <w:rPr>
          <w:sz w:val="28"/>
          <w:szCs w:val="28"/>
        </w:rPr>
        <w:t xml:space="preserve"> - Rosa Parks, </w:t>
      </w:r>
      <w:proofErr w:type="gramStart"/>
      <w:r>
        <w:rPr>
          <w:sz w:val="28"/>
          <w:szCs w:val="28"/>
        </w:rPr>
        <w:t>an African American women</w:t>
      </w:r>
      <w:proofErr w:type="gramEnd"/>
      <w:r>
        <w:rPr>
          <w:sz w:val="28"/>
          <w:szCs w:val="28"/>
        </w:rPr>
        <w:t>, refused to give up her seat in the front of a public bus to a white passenger. Her refusal broke the Alabama law</w:t>
      </w:r>
      <w:r>
        <w:rPr>
          <w:sz w:val="28"/>
          <w:szCs w:val="28"/>
        </w:rPr>
        <w:t xml:space="preserve"> that African Americans had to sit in the back of the bus and give their seats to white passengers if the bus became full. A 381-day boycott of the Montgomery bus system took place following her arrest. This led to the 1956 Supreme Court decision banning s</w:t>
      </w:r>
      <w:r>
        <w:rPr>
          <w:sz w:val="28"/>
          <w:szCs w:val="28"/>
        </w:rPr>
        <w:t xml:space="preserve">egregation on public transportation and the 1960’s Civil Rights Movement.  </w:t>
      </w:r>
    </w:p>
    <w:p w:rsidR="00554970" w:rsidRDefault="003C4999">
      <w:pPr>
        <w:numPr>
          <w:ilvl w:val="0"/>
          <w:numId w:val="8"/>
        </w:numPr>
        <w:ind w:hanging="360"/>
        <w:contextualSpacing/>
        <w:rPr>
          <w:sz w:val="28"/>
          <w:szCs w:val="28"/>
        </w:rPr>
      </w:pPr>
      <w:hyperlink r:id="rId9">
        <w:r>
          <w:rPr>
            <w:color w:val="1155CC"/>
            <w:sz w:val="28"/>
            <w:szCs w:val="28"/>
            <w:u w:val="single"/>
          </w:rPr>
          <w:t>http://www.history.com/topics/black-history/montgomery-bus-boycott</w:t>
        </w:r>
      </w:hyperlink>
      <w:r>
        <w:rPr>
          <w:sz w:val="28"/>
          <w:szCs w:val="28"/>
        </w:rPr>
        <w:t xml:space="preserve"> </w:t>
      </w:r>
    </w:p>
    <w:p w:rsidR="00554970" w:rsidRDefault="00554970">
      <w:pPr>
        <w:ind w:firstLine="720"/>
      </w:pPr>
    </w:p>
    <w:p w:rsidR="00554970" w:rsidRDefault="003C4999">
      <w:pPr>
        <w:ind w:firstLine="720"/>
      </w:pPr>
      <w:r>
        <w:rPr>
          <w:i/>
          <w:sz w:val="28"/>
          <w:szCs w:val="28"/>
        </w:rPr>
        <w:t>The Berlin Wall Protests:</w:t>
      </w:r>
      <w:r>
        <w:rPr>
          <w:i/>
          <w:sz w:val="28"/>
          <w:szCs w:val="28"/>
        </w:rPr>
        <w:t xml:space="preserve"> The Monday Demonstrations (Sept - Oct of 1989) -</w:t>
      </w:r>
      <w:r>
        <w:rPr>
          <w:sz w:val="28"/>
          <w:szCs w:val="28"/>
        </w:rPr>
        <w:t xml:space="preserve"> Thousands of individuals would gathered every Monday night starting on September 4, 1989 to have a peaceful protest against the East German Communist government in Leipzig, East Germany. This led to the </w:t>
      </w:r>
      <w:proofErr w:type="spellStart"/>
      <w:r>
        <w:rPr>
          <w:sz w:val="28"/>
          <w:szCs w:val="28"/>
        </w:rPr>
        <w:t>Ale</w:t>
      </w:r>
      <w:r>
        <w:rPr>
          <w:sz w:val="28"/>
          <w:szCs w:val="28"/>
        </w:rPr>
        <w:t>xanderplatz</w:t>
      </w:r>
      <w:proofErr w:type="spellEnd"/>
      <w:r>
        <w:rPr>
          <w:sz w:val="28"/>
          <w:szCs w:val="28"/>
        </w:rPr>
        <w:t xml:space="preserve"> Demonstration on Nov. 4, 1989 and then the order to let East Berliners pass through the checkpoints to West Berlin on Nov. 9, 1989.</w:t>
      </w:r>
    </w:p>
    <w:p w:rsidR="00554970" w:rsidRDefault="003C4999">
      <w:pPr>
        <w:numPr>
          <w:ilvl w:val="0"/>
          <w:numId w:val="6"/>
        </w:numPr>
        <w:ind w:hanging="360"/>
        <w:contextualSpacing/>
        <w:rPr>
          <w:sz w:val="28"/>
          <w:szCs w:val="28"/>
        </w:rPr>
      </w:pPr>
      <w:hyperlink r:id="rId10">
        <w:r>
          <w:rPr>
            <w:color w:val="1155CC"/>
            <w:sz w:val="28"/>
            <w:szCs w:val="28"/>
            <w:u w:val="single"/>
          </w:rPr>
          <w:t>http://www.spiegel.de/international/germany/we-are-the-people-a-peaceful-revolution-in-leipzig-a-654137.html</w:t>
        </w:r>
      </w:hyperlink>
      <w:r>
        <w:rPr>
          <w:sz w:val="28"/>
          <w:szCs w:val="28"/>
        </w:rPr>
        <w:t xml:space="preserve"> </w:t>
      </w:r>
    </w:p>
    <w:p w:rsidR="00554970" w:rsidRDefault="00554970">
      <w:pPr>
        <w:ind w:firstLine="720"/>
      </w:pPr>
    </w:p>
    <w:p w:rsidR="00554970" w:rsidRDefault="003C4999">
      <w:pPr>
        <w:ind w:firstLine="720"/>
      </w:pPr>
      <w:r>
        <w:rPr>
          <w:i/>
          <w:sz w:val="28"/>
          <w:szCs w:val="28"/>
        </w:rPr>
        <w:t>Other familiar exam</w:t>
      </w:r>
      <w:r>
        <w:rPr>
          <w:i/>
          <w:sz w:val="28"/>
          <w:szCs w:val="28"/>
        </w:rPr>
        <w:t>ples of Civil Disobedience include</w:t>
      </w:r>
      <w:r>
        <w:rPr>
          <w:sz w:val="28"/>
          <w:szCs w:val="28"/>
        </w:rPr>
        <w:t xml:space="preserve">: The Vietnam War Protests, the Women’s Suffrage Movement,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March on Washington, Gandhi’s Salt March, etc.  </w:t>
      </w:r>
    </w:p>
    <w:p w:rsidR="00554970" w:rsidRDefault="00554970">
      <w:pPr>
        <w:ind w:firstLine="720"/>
      </w:pPr>
    </w:p>
    <w:p w:rsidR="00554970" w:rsidRDefault="003C4999">
      <w:pPr>
        <w:numPr>
          <w:ilvl w:val="0"/>
          <w:numId w:val="10"/>
        </w:numPr>
        <w:ind w:left="0" w:hanging="360"/>
        <w:contextualSpacing/>
        <w:rPr>
          <w:sz w:val="28"/>
          <w:szCs w:val="28"/>
        </w:rPr>
      </w:pPr>
      <w:r>
        <w:rPr>
          <w:sz w:val="28"/>
          <w:szCs w:val="28"/>
        </w:rPr>
        <w:t>Civil Disobedience continues to play a role in modern society, and is an integral part of several current soc</w:t>
      </w:r>
      <w:r>
        <w:rPr>
          <w:sz w:val="28"/>
          <w:szCs w:val="28"/>
        </w:rPr>
        <w:t xml:space="preserve">ial movements, such as... </w:t>
      </w:r>
    </w:p>
    <w:p w:rsidR="00554970" w:rsidRDefault="003C4999">
      <w:pPr>
        <w:numPr>
          <w:ilvl w:val="1"/>
          <w:numId w:val="10"/>
        </w:numPr>
        <w:ind w:left="1440"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Black Lives Matter</w:t>
      </w:r>
    </w:p>
    <w:p w:rsidR="00554970" w:rsidRDefault="003C4999">
      <w:pPr>
        <w:numPr>
          <w:ilvl w:val="2"/>
          <w:numId w:val="10"/>
        </w:numPr>
        <w:ind w:left="1800" w:hanging="360"/>
        <w:contextualSpacing/>
        <w:rPr>
          <w:sz w:val="28"/>
          <w:szCs w:val="28"/>
        </w:rPr>
      </w:pPr>
      <w:r>
        <w:rPr>
          <w:sz w:val="28"/>
          <w:szCs w:val="28"/>
        </w:rPr>
        <w:t>Protests against Police Brutality</w:t>
      </w:r>
    </w:p>
    <w:p w:rsidR="00554970" w:rsidRDefault="003C4999">
      <w:pPr>
        <w:numPr>
          <w:ilvl w:val="0"/>
          <w:numId w:val="7"/>
        </w:numPr>
        <w:ind w:hanging="360"/>
        <w:contextualSpacing/>
        <w:rPr>
          <w:sz w:val="28"/>
          <w:szCs w:val="28"/>
        </w:rPr>
      </w:pPr>
      <w:hyperlink r:id="rId11">
        <w:r>
          <w:rPr>
            <w:color w:val="1155CC"/>
            <w:sz w:val="28"/>
            <w:szCs w:val="28"/>
            <w:u w:val="single"/>
          </w:rPr>
          <w:t>https://www.nytimes.com/topic/subject/police-brutality-misconduct-and-shootings</w:t>
        </w:r>
      </w:hyperlink>
      <w:r>
        <w:rPr>
          <w:sz w:val="28"/>
          <w:szCs w:val="28"/>
        </w:rPr>
        <w:t xml:space="preserve"> </w:t>
      </w:r>
    </w:p>
    <w:p w:rsidR="00554970" w:rsidRDefault="003C4999">
      <w:pPr>
        <w:numPr>
          <w:ilvl w:val="2"/>
          <w:numId w:val="10"/>
        </w:numPr>
        <w:ind w:left="1800"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Resist currents of racism in law enforcement</w:t>
      </w:r>
    </w:p>
    <w:p w:rsidR="00554970" w:rsidRDefault="00554970">
      <w:pPr>
        <w:ind w:left="1440"/>
      </w:pPr>
    </w:p>
    <w:p w:rsidR="00554970" w:rsidRDefault="003C4999">
      <w:pPr>
        <w:numPr>
          <w:ilvl w:val="4"/>
          <w:numId w:val="10"/>
        </w:numPr>
        <w:ind w:left="1440"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LGBT Rights</w:t>
      </w:r>
    </w:p>
    <w:p w:rsidR="00554970" w:rsidRDefault="003C4999">
      <w:pPr>
        <w:numPr>
          <w:ilvl w:val="5"/>
          <w:numId w:val="10"/>
        </w:numPr>
        <w:ind w:left="1800" w:hanging="360"/>
        <w:contextualSpacing/>
        <w:rPr>
          <w:sz w:val="28"/>
          <w:szCs w:val="28"/>
        </w:rPr>
      </w:pPr>
      <w:r>
        <w:rPr>
          <w:sz w:val="28"/>
          <w:szCs w:val="28"/>
        </w:rPr>
        <w:t>Marriage Equality</w:t>
      </w:r>
    </w:p>
    <w:p w:rsidR="00554970" w:rsidRDefault="003C4999">
      <w:pPr>
        <w:numPr>
          <w:ilvl w:val="0"/>
          <w:numId w:val="11"/>
        </w:numPr>
        <w:ind w:hanging="360"/>
        <w:contextualSpacing/>
        <w:rPr>
          <w:sz w:val="28"/>
          <w:szCs w:val="28"/>
        </w:rPr>
      </w:pPr>
      <w:hyperlink r:id="rId12">
        <w:r>
          <w:rPr>
            <w:color w:val="1155CC"/>
            <w:sz w:val="28"/>
            <w:szCs w:val="28"/>
            <w:u w:val="single"/>
          </w:rPr>
          <w:t>http://www.huffingtonpost</w:t>
        </w:r>
        <w:r>
          <w:rPr>
            <w:color w:val="1155CC"/>
            <w:sz w:val="28"/>
            <w:szCs w:val="28"/>
            <w:u w:val="single"/>
          </w:rPr>
          <w:t>.com/news/marriage-equality/</w:t>
        </w:r>
      </w:hyperlink>
    </w:p>
    <w:p w:rsidR="00554970" w:rsidRDefault="003C4999">
      <w:pPr>
        <w:numPr>
          <w:ilvl w:val="5"/>
          <w:numId w:val="10"/>
        </w:numPr>
        <w:ind w:left="1800" w:hanging="360"/>
        <w:contextualSpacing/>
        <w:rPr>
          <w:sz w:val="28"/>
          <w:szCs w:val="28"/>
        </w:rPr>
      </w:pPr>
      <w:r>
        <w:rPr>
          <w:sz w:val="28"/>
          <w:szCs w:val="28"/>
        </w:rPr>
        <w:t>Transgender Bathroom Rights</w:t>
      </w:r>
    </w:p>
    <w:p w:rsidR="00554970" w:rsidRDefault="003C4999">
      <w:pPr>
        <w:numPr>
          <w:ilvl w:val="0"/>
          <w:numId w:val="12"/>
        </w:numPr>
        <w:ind w:left="2160" w:hanging="360"/>
        <w:contextualSpacing/>
        <w:rPr>
          <w:sz w:val="28"/>
          <w:szCs w:val="28"/>
        </w:rPr>
      </w:pPr>
      <w:hyperlink r:id="rId13">
        <w:r>
          <w:rPr>
            <w:color w:val="1155CC"/>
            <w:sz w:val="28"/>
            <w:szCs w:val="28"/>
            <w:u w:val="single"/>
          </w:rPr>
          <w:t>http://www.cnn.com/2016/05/12/politics/transgender-bathrooms-obama-administration/index.html</w:t>
        </w:r>
      </w:hyperlink>
    </w:p>
    <w:p w:rsidR="00554970" w:rsidRDefault="00554970"/>
    <w:p w:rsidR="00554970" w:rsidRDefault="003C4999">
      <w:pPr>
        <w:numPr>
          <w:ilvl w:val="4"/>
          <w:numId w:val="10"/>
        </w:numPr>
        <w:ind w:left="1440"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Women’s Rights</w:t>
      </w:r>
    </w:p>
    <w:p w:rsidR="00554970" w:rsidRDefault="003C4999">
      <w:pPr>
        <w:numPr>
          <w:ilvl w:val="5"/>
          <w:numId w:val="10"/>
        </w:numPr>
        <w:ind w:left="1800" w:hanging="360"/>
        <w:contextualSpacing/>
        <w:rPr>
          <w:sz w:val="28"/>
          <w:szCs w:val="28"/>
        </w:rPr>
      </w:pPr>
      <w:r>
        <w:rPr>
          <w:sz w:val="28"/>
          <w:szCs w:val="28"/>
        </w:rPr>
        <w:t>Planned Parenthood</w:t>
      </w:r>
    </w:p>
    <w:p w:rsidR="00554970" w:rsidRDefault="003C4999">
      <w:pPr>
        <w:numPr>
          <w:ilvl w:val="0"/>
          <w:numId w:val="13"/>
        </w:numPr>
        <w:ind w:hanging="360"/>
        <w:contextualSpacing/>
        <w:rPr>
          <w:sz w:val="28"/>
          <w:szCs w:val="28"/>
        </w:rPr>
      </w:pPr>
      <w:hyperlink r:id="rId14">
        <w:r>
          <w:rPr>
            <w:color w:val="1155CC"/>
            <w:sz w:val="28"/>
            <w:szCs w:val="28"/>
            <w:u w:val="single"/>
          </w:rPr>
          <w:t>http://www.pressherald.</w:t>
        </w:r>
        <w:r>
          <w:rPr>
            <w:color w:val="1155CC"/>
            <w:sz w:val="28"/>
            <w:szCs w:val="28"/>
            <w:u w:val="single"/>
          </w:rPr>
          <w:t>com/2017/01/29/nemitz-planned-parenthood-now-needs-protecting/</w:t>
        </w:r>
      </w:hyperlink>
    </w:p>
    <w:p w:rsidR="00554970" w:rsidRDefault="003C4999">
      <w:pPr>
        <w:numPr>
          <w:ilvl w:val="5"/>
          <w:numId w:val="10"/>
        </w:numPr>
        <w:ind w:left="1800" w:hanging="360"/>
        <w:contextualSpacing/>
        <w:rPr>
          <w:sz w:val="28"/>
          <w:szCs w:val="28"/>
        </w:rPr>
      </w:pPr>
      <w:r>
        <w:rPr>
          <w:sz w:val="28"/>
          <w:szCs w:val="28"/>
        </w:rPr>
        <w:t>Equal Pay for Equal Work</w:t>
      </w:r>
    </w:p>
    <w:p w:rsidR="00554970" w:rsidRDefault="003C4999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hyperlink r:id="rId15">
        <w:r>
          <w:rPr>
            <w:color w:val="1155CC"/>
            <w:sz w:val="28"/>
            <w:szCs w:val="28"/>
            <w:u w:val="single"/>
          </w:rPr>
          <w:t>http://now.org/resource/women-deserve-equal-pay-factsheet/</w:t>
        </w:r>
      </w:hyperlink>
    </w:p>
    <w:p w:rsidR="00554970" w:rsidRDefault="003C4999">
      <w:pPr>
        <w:numPr>
          <w:ilvl w:val="3"/>
          <w:numId w:val="10"/>
        </w:numPr>
        <w:ind w:left="2160" w:hanging="360"/>
        <w:contextualSpacing/>
        <w:rPr>
          <w:sz w:val="28"/>
          <w:szCs w:val="28"/>
        </w:rPr>
      </w:pPr>
      <w:r>
        <w:rPr>
          <w:sz w:val="28"/>
          <w:szCs w:val="28"/>
        </w:rPr>
        <w:t>Events: Women’s March on Washin</w:t>
      </w:r>
      <w:r>
        <w:rPr>
          <w:sz w:val="28"/>
          <w:szCs w:val="28"/>
        </w:rPr>
        <w:t>gton</w:t>
      </w:r>
    </w:p>
    <w:p w:rsidR="00554970" w:rsidRDefault="003C4999">
      <w:pPr>
        <w:numPr>
          <w:ilvl w:val="0"/>
          <w:numId w:val="9"/>
        </w:numPr>
        <w:ind w:hanging="360"/>
        <w:contextualSpacing/>
        <w:rPr>
          <w:sz w:val="28"/>
          <w:szCs w:val="28"/>
        </w:rPr>
      </w:pPr>
      <w:hyperlink r:id="rId16">
        <w:r>
          <w:rPr>
            <w:color w:val="1155CC"/>
            <w:sz w:val="28"/>
            <w:szCs w:val="28"/>
            <w:u w:val="single"/>
          </w:rPr>
          <w:t>https://www.washingtonpost.com/news/monkey-</w:t>
        </w:r>
        <w:r>
          <w:rPr>
            <w:color w:val="1155CC"/>
            <w:sz w:val="28"/>
            <w:szCs w:val="28"/>
            <w:u w:val="single"/>
          </w:rPr>
          <w:lastRenderedPageBreak/>
          <w:t>cage/wp/2017/01/30/why-the-womens-ma</w:t>
        </w:r>
        <w:r>
          <w:rPr>
            <w:color w:val="1155CC"/>
            <w:sz w:val="28"/>
            <w:szCs w:val="28"/>
            <w:u w:val="single"/>
          </w:rPr>
          <w:t>rch-may-be-the-start-of-a-serious-social-movement/?utm_term=.7f167c4334c3</w:t>
        </w:r>
      </w:hyperlink>
    </w:p>
    <w:p w:rsidR="00554970" w:rsidRDefault="00554970"/>
    <w:p w:rsidR="00554970" w:rsidRDefault="003C4999">
      <w:pPr>
        <w:spacing w:line="288" w:lineRule="auto"/>
      </w:pPr>
      <w:r>
        <w:rPr>
          <w:b/>
          <w:sz w:val="28"/>
          <w:szCs w:val="28"/>
        </w:rPr>
        <w:t>Links for More Information and Exploration:</w:t>
      </w:r>
    </w:p>
    <w:p w:rsidR="00554970" w:rsidRDefault="00554970"/>
    <w:p w:rsidR="00554970" w:rsidRDefault="003C4999">
      <w:pPr>
        <w:ind w:firstLine="720"/>
      </w:pPr>
      <w:r>
        <w:rPr>
          <w:b/>
          <w:sz w:val="28"/>
          <w:szCs w:val="28"/>
        </w:rPr>
        <w:t xml:space="preserve">Educator Resources: </w:t>
      </w:r>
    </w:p>
    <w:p w:rsidR="00554970" w:rsidRDefault="003C4999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hyperlink r:id="rId17">
        <w:r>
          <w:rPr>
            <w:color w:val="1155CC"/>
            <w:sz w:val="28"/>
            <w:szCs w:val="28"/>
            <w:u w:val="single"/>
          </w:rPr>
          <w:t>http://billofrig</w:t>
        </w:r>
        <w:r>
          <w:rPr>
            <w:color w:val="1155CC"/>
            <w:sz w:val="28"/>
            <w:szCs w:val="28"/>
            <w:u w:val="single"/>
          </w:rPr>
          <w:t>htsinstitute.org/educate/educator-resources/civil-disobedience/</w:t>
        </w:r>
      </w:hyperlink>
      <w:r>
        <w:rPr>
          <w:sz w:val="28"/>
          <w:szCs w:val="28"/>
        </w:rPr>
        <w:t xml:space="preserve"> </w:t>
      </w:r>
    </w:p>
    <w:p w:rsidR="00554970" w:rsidRDefault="003C4999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hyperlink r:id="rId18">
        <w:r>
          <w:rPr>
            <w:color w:val="1155CC"/>
            <w:sz w:val="28"/>
            <w:szCs w:val="28"/>
            <w:u w:val="single"/>
          </w:rPr>
          <w:t>http://www.teachingforchange.org/</w:t>
        </w:r>
      </w:hyperlink>
    </w:p>
    <w:p w:rsidR="00554970" w:rsidRDefault="003C4999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hyperlink r:id="rId19">
        <w:r>
          <w:rPr>
            <w:color w:val="1155CC"/>
            <w:sz w:val="28"/>
            <w:szCs w:val="28"/>
            <w:u w:val="single"/>
          </w:rPr>
          <w:t>http://www.teachsocialjustice.org/</w:t>
        </w:r>
      </w:hyperlink>
      <w:r>
        <w:rPr>
          <w:sz w:val="28"/>
          <w:szCs w:val="28"/>
        </w:rPr>
        <w:t xml:space="preserve"> </w:t>
      </w:r>
    </w:p>
    <w:p w:rsidR="00554970" w:rsidRDefault="00554970"/>
    <w:p w:rsidR="00554970" w:rsidRDefault="00554970"/>
    <w:p w:rsidR="00554970" w:rsidRDefault="003C4999">
      <w:r>
        <w:rPr>
          <w:b/>
          <w:sz w:val="28"/>
          <w:szCs w:val="28"/>
        </w:rPr>
        <w:t xml:space="preserve">Talking Points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You and Your Child</w:t>
      </w:r>
    </w:p>
    <w:p w:rsidR="00554970" w:rsidRDefault="00554970"/>
    <w:p w:rsidR="00554970" w:rsidRDefault="003C4999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Do you believe civil disobedience is an effective means for advancing equality? Why or why not?</w:t>
      </w:r>
    </w:p>
    <w:p w:rsidR="00554970" w:rsidRDefault="003C4999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are the pros and cons of civil disobedience from the people’s perspective?</w:t>
      </w:r>
    </w:p>
    <w:p w:rsidR="00554970" w:rsidRDefault="003C4999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are the pros and cons of civil disob</w:t>
      </w:r>
      <w:r>
        <w:rPr>
          <w:sz w:val="28"/>
          <w:szCs w:val="28"/>
        </w:rPr>
        <w:t>edience from the government’s perspective?</w:t>
      </w:r>
    </w:p>
    <w:p w:rsidR="00554970" w:rsidRDefault="003C4999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Is it a citizen’s responsibility to participate in civil disobedience? Some people believe that not actively participating in civil disobedience is akin to supporting the status quo--do you agree or disagree with </w:t>
      </w:r>
      <w:r>
        <w:rPr>
          <w:sz w:val="28"/>
          <w:szCs w:val="28"/>
        </w:rPr>
        <w:t>this idea?</w:t>
      </w:r>
    </w:p>
    <w:p w:rsidR="00554970" w:rsidRDefault="003C4999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Why is civil disobedience effective?</w:t>
      </w:r>
    </w:p>
    <w:p w:rsidR="00554970" w:rsidRDefault="003C4999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Do you believe civil disobedience is the best way to achieve social justice? Is it better than violent means of resistance? Why or why not?</w:t>
      </w:r>
    </w:p>
    <w:p w:rsidR="00554970" w:rsidRDefault="003C4999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are some other situations in which civil disobedience can be effective?</w:t>
      </w:r>
    </w:p>
    <w:p w:rsidR="00554970" w:rsidRDefault="003C4999">
      <w:r>
        <w:rPr>
          <w:sz w:val="28"/>
          <w:szCs w:val="28"/>
        </w:rPr>
        <w:t xml:space="preserve">   </w:t>
      </w:r>
    </w:p>
    <w:sectPr w:rsidR="0055497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B70"/>
    <w:multiLevelType w:val="multilevel"/>
    <w:tmpl w:val="2DEAB4B2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">
    <w:nsid w:val="16E91FD6"/>
    <w:multiLevelType w:val="multilevel"/>
    <w:tmpl w:val="39446A72"/>
    <w:lvl w:ilvl="0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-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-"/>
      <w:lvlJc w:val="left"/>
      <w:pPr>
        <w:ind w:left="9360" w:firstLine="9000"/>
      </w:pPr>
      <w:rPr>
        <w:u w:val="none"/>
      </w:rPr>
    </w:lvl>
  </w:abstractNum>
  <w:abstractNum w:abstractNumId="2">
    <w:nsid w:val="176A776E"/>
    <w:multiLevelType w:val="multilevel"/>
    <w:tmpl w:val="F880D678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3">
    <w:nsid w:val="1A4630A9"/>
    <w:multiLevelType w:val="multilevel"/>
    <w:tmpl w:val="0E66E3DC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4">
    <w:nsid w:val="1D4F1F08"/>
    <w:multiLevelType w:val="multilevel"/>
    <w:tmpl w:val="6ACC74B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302F468A"/>
    <w:multiLevelType w:val="multilevel"/>
    <w:tmpl w:val="BF965A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1CF1150"/>
    <w:multiLevelType w:val="multilevel"/>
    <w:tmpl w:val="BF8E5F38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7">
    <w:nsid w:val="62201E3C"/>
    <w:multiLevelType w:val="multilevel"/>
    <w:tmpl w:val="352E793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>
    <w:nsid w:val="6297150F"/>
    <w:multiLevelType w:val="multilevel"/>
    <w:tmpl w:val="18DCFDC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>
    <w:nsid w:val="66940323"/>
    <w:multiLevelType w:val="multilevel"/>
    <w:tmpl w:val="F378CA80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0">
    <w:nsid w:val="6A8D7086"/>
    <w:multiLevelType w:val="multilevel"/>
    <w:tmpl w:val="20B65D2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6E545CE1"/>
    <w:multiLevelType w:val="multilevel"/>
    <w:tmpl w:val="E016695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2">
    <w:nsid w:val="73CA6FC4"/>
    <w:multiLevelType w:val="multilevel"/>
    <w:tmpl w:val="1E54D0B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4970"/>
    <w:rsid w:val="003C4999"/>
    <w:rsid w:val="005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american-revolution/boston-tea-party" TargetMode="External"/><Relationship Id="rId13" Type="http://schemas.openxmlformats.org/officeDocument/2006/relationships/hyperlink" Target="http://www.cnn.com/2016/05/12/politics/transgender-bathrooms-obama-administration/index.html" TargetMode="External"/><Relationship Id="rId18" Type="http://schemas.openxmlformats.org/officeDocument/2006/relationships/hyperlink" Target="http://www.teachingforchange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merriam-webster.com/dictionary/" TargetMode="External"/><Relationship Id="rId12" Type="http://schemas.openxmlformats.org/officeDocument/2006/relationships/hyperlink" Target="http://www.huffingtonpost.com/news/marriage-equality/" TargetMode="External"/><Relationship Id="rId17" Type="http://schemas.openxmlformats.org/officeDocument/2006/relationships/hyperlink" Target="http://billofrightsinstitute.org/educate/educator-resources/civil-disobedien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shingtonpost.com/news/monkey-cage/wp/2017/01/30/why-the-womens-march-may-be-the-start-of-a-serious-social-movement/?utm_term=.7f167c4334c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nytimes.com/topic/subject/police-brutality-misconduct-and-shoot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w.org/resource/women-deserve-equal-pay-factsheet/" TargetMode="External"/><Relationship Id="rId10" Type="http://schemas.openxmlformats.org/officeDocument/2006/relationships/hyperlink" Target="http://www.spiegel.de/international/germany/we-are-the-people-a-peaceful-revolution-in-leipzig-a-654137.html" TargetMode="External"/><Relationship Id="rId19" Type="http://schemas.openxmlformats.org/officeDocument/2006/relationships/hyperlink" Target="http://www.teachsocialjustic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.com/topics/black-history/montgomery-bus-boycott" TargetMode="External"/><Relationship Id="rId14" Type="http://schemas.openxmlformats.org/officeDocument/2006/relationships/hyperlink" Target="http://www.pressherald.com/2017/01/29/nemitz-planned-parenthood-now-needs-protec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Heubeck, Margaret F. (Meg) (mfh2n)</dc:creator>
  <cp:lastModifiedBy>Heubeck, Margaret F. (Meg) (mfh2n)</cp:lastModifiedBy>
  <cp:revision>2</cp:revision>
  <dcterms:created xsi:type="dcterms:W3CDTF">2017-02-07T20:21:00Z</dcterms:created>
  <dcterms:modified xsi:type="dcterms:W3CDTF">2017-02-07T20:21:00Z</dcterms:modified>
</cp:coreProperties>
</file>